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E" w:rsidRDefault="00875EAE" w:rsidP="00875EAE">
      <w:pPr>
        <w:spacing w:line="360" w:lineRule="auto"/>
        <w:rPr>
          <w:rFonts w:ascii="仿宋_GB2312" w:eastAsia="仿宋_GB2312"/>
          <w:b/>
          <w:bCs/>
          <w:szCs w:val="32"/>
        </w:rPr>
      </w:pPr>
      <w:r>
        <w:rPr>
          <w:rFonts w:ascii="仿宋_GB2312" w:eastAsia="仿宋_GB2312" w:hint="eastAsia"/>
          <w:b/>
          <w:bCs/>
          <w:szCs w:val="32"/>
        </w:rPr>
        <w:t>附件1：</w:t>
      </w:r>
    </w:p>
    <w:p w:rsidR="00875EAE" w:rsidRDefault="00875EAE" w:rsidP="00875EAE">
      <w:pPr>
        <w:spacing w:line="540" w:lineRule="exact"/>
        <w:jc w:val="center"/>
        <w:rPr>
          <w:rFonts w:ascii="仿宋_GB2312" w:eastAsia="仿宋_GB2312"/>
          <w:b/>
          <w:bCs/>
          <w:szCs w:val="32"/>
        </w:rPr>
      </w:pPr>
      <w:r>
        <w:rPr>
          <w:rFonts w:ascii="仿宋_GB2312" w:eastAsia="仿宋_GB2312"/>
          <w:b/>
          <w:bCs/>
          <w:szCs w:val="32"/>
        </w:rPr>
        <w:t>江苏省注册功能安全工程师（FSCE）培训</w:t>
      </w:r>
    </w:p>
    <w:p w:rsidR="00875EAE" w:rsidRDefault="00875EAE" w:rsidP="00875EAE">
      <w:pPr>
        <w:spacing w:line="540" w:lineRule="exact"/>
        <w:jc w:val="center"/>
        <w:rPr>
          <w:rFonts w:ascii="仿宋_GB2312" w:eastAsia="仿宋_GB2312" w:hint="eastAsia"/>
          <w:b/>
          <w:bCs/>
          <w:szCs w:val="32"/>
        </w:rPr>
      </w:pPr>
      <w:r>
        <w:rPr>
          <w:rFonts w:ascii="仿宋_GB2312" w:eastAsia="仿宋_GB2312"/>
          <w:b/>
          <w:bCs/>
          <w:szCs w:val="32"/>
        </w:rPr>
        <w:t>(第一期)</w:t>
      </w:r>
      <w:r>
        <w:rPr>
          <w:rFonts w:ascii="仿宋_GB2312" w:eastAsia="仿宋_GB2312" w:hint="eastAsia"/>
          <w:b/>
          <w:bCs/>
          <w:szCs w:val="32"/>
        </w:rPr>
        <w:t>培训方案</w:t>
      </w:r>
    </w:p>
    <w:p w:rsidR="00875EAE" w:rsidRDefault="00875EAE" w:rsidP="00875EAE">
      <w:pPr>
        <w:spacing w:line="540" w:lineRule="exact"/>
        <w:rPr>
          <w:rFonts w:ascii="仿宋_GB2312" w:eastAsia="仿宋_GB2312"/>
          <w:b/>
          <w:bCs/>
          <w:szCs w:val="32"/>
        </w:rPr>
      </w:pPr>
      <w:r>
        <w:rPr>
          <w:rFonts w:ascii="仿宋_GB2312" w:eastAsia="仿宋_GB2312"/>
          <w:b/>
          <w:bCs/>
          <w:szCs w:val="32"/>
        </w:rPr>
        <w:t>背景介绍</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化学、炼油、油气生产、医药化工、电力、造纸等过程工业在开车、正常生产过程、停车等阶段都有可能存在潜在的风险，引起人员伤害、环境污染以及财产的损失。而基于标准IEC61511和IEC61508构建的安全仪表系统(SIS)正是用于保证过程工业生产的安全，将风险降低到人们可接受的水平。</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2014年，国家安监总局发布《国家安全监管总局关于加强化工安全仪表系统管理的指导意见》（安监总管三〔2014〕116号文）。该意见要求化工及危化品生产、储存单位应使用安全仪表系统（SIS）保障生产安全；SIS的选型、安装、组态、试车、维护等须符合功能安全国家标准GB/T20438、GB/T21109的要求；</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2020年4月《全国安全生产专项整治三年行动计划》（安委2020 3号）提出涉及</w:t>
      </w:r>
      <w:r>
        <w:rPr>
          <w:rFonts w:ascii="仿宋_GB2312" w:eastAsia="仿宋_GB2312"/>
          <w:szCs w:val="32"/>
        </w:rPr>
        <w:t>“</w:t>
      </w:r>
      <w:r>
        <w:rPr>
          <w:rFonts w:ascii="仿宋_GB2312" w:eastAsia="仿宋_GB2312"/>
          <w:szCs w:val="32"/>
        </w:rPr>
        <w:t>两重点</w:t>
      </w:r>
      <w:proofErr w:type="gramStart"/>
      <w:r>
        <w:rPr>
          <w:rFonts w:ascii="仿宋_GB2312" w:eastAsia="仿宋_GB2312"/>
          <w:szCs w:val="32"/>
        </w:rPr>
        <w:t>一</w:t>
      </w:r>
      <w:proofErr w:type="gramEnd"/>
      <w:r>
        <w:rPr>
          <w:rFonts w:ascii="仿宋_GB2312" w:eastAsia="仿宋_GB2312"/>
          <w:szCs w:val="32"/>
        </w:rPr>
        <w:t>重大</w:t>
      </w:r>
      <w:r>
        <w:rPr>
          <w:rFonts w:ascii="仿宋_GB2312" w:eastAsia="仿宋_GB2312"/>
          <w:szCs w:val="32"/>
        </w:rPr>
        <w:t>”</w:t>
      </w:r>
      <w:r>
        <w:rPr>
          <w:rFonts w:ascii="仿宋_GB2312" w:eastAsia="仿宋_GB2312"/>
          <w:szCs w:val="32"/>
        </w:rPr>
        <w:t>生产装置和储存设施的自动化系统装备投用率达到100%</w:t>
      </w:r>
      <w:proofErr w:type="gramStart"/>
      <w:r>
        <w:rPr>
          <w:rFonts w:ascii="仿宋_GB2312" w:eastAsia="仿宋_GB2312"/>
          <w:szCs w:val="32"/>
        </w:rPr>
        <w:t>”</w:t>
      </w:r>
      <w:proofErr w:type="gramEnd"/>
      <w:r>
        <w:rPr>
          <w:rFonts w:ascii="仿宋_GB2312" w:eastAsia="仿宋_GB2312"/>
          <w:szCs w:val="32"/>
        </w:rPr>
        <w:t>。近日，国家应急管理部办公厅紧急印发了关于《危险化学品重大危险源企业专项检查督导工作方案》的通知。在通知中，明确指出通知所涉及到的企业安全生产主体责任落实情况，包括危险化学品储罐区和储存仓库可燃气体及有毒气体报警系统、安全仪表连锁系统（SIS）、紧急停车系统（ESD）、视频监控系统、液位上下限报警系统、容器超压报警系统、紧急切断装置、 安</w:t>
      </w:r>
      <w:r>
        <w:rPr>
          <w:rFonts w:ascii="仿宋_GB2312" w:eastAsia="仿宋_GB2312"/>
          <w:szCs w:val="32"/>
        </w:rPr>
        <w:lastRenderedPageBreak/>
        <w:t>全阀切断阀、泄压排放系统、万向管道充装系统、防爆电气设备、冷却降温设施等安全运行情况，企业按标准分区分类储存危险化学品、危险化学品罐区装卸安全管理等情况。</w:t>
      </w:r>
    </w:p>
    <w:p w:rsidR="00875EAE" w:rsidRDefault="00875EAE" w:rsidP="00875EAE">
      <w:pPr>
        <w:spacing w:line="540" w:lineRule="exact"/>
        <w:ind w:firstLineChars="200" w:firstLine="640"/>
        <w:rPr>
          <w:rFonts w:ascii="仿宋_GB2312" w:eastAsia="仿宋_GB2312"/>
          <w:bCs/>
          <w:szCs w:val="32"/>
        </w:rPr>
      </w:pPr>
      <w:r>
        <w:rPr>
          <w:rFonts w:ascii="仿宋_GB2312" w:eastAsia="仿宋_GB2312"/>
          <w:bCs/>
          <w:szCs w:val="32"/>
        </w:rPr>
        <w:t>从事SIS相关工作的人员应经过系统、专业的培训获得功能安全专业知识。由此可见，安全仪表及功能安全是通知所涉及到的企业工作的重中之重！</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在过程工业领域，IEC61511作为具体应用标准，详细地规定了危险和风险分析、安全要求分配、SIL定级、以及安全仪表系统的设计、集成、安装、调试等技术和管理要求，IEC61508作为通用和基础标准，为SIS系统的组件选型、安全回路的验证等提供了方法。这两个标准为安全仪表系统的研发和集成提供了详细的指导，保证了安全仪表系统及其组件能够达到要求的SIL等级。</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此次，江苏省安全生产科学技术学会（JSWSST）将携手德国T</w:t>
      </w:r>
      <w:r>
        <w:rPr>
          <w:rFonts w:ascii="仿宋_GB2312" w:eastAsia="仿宋_GB2312"/>
          <w:szCs w:val="32"/>
        </w:rPr>
        <w:t>Ü</w:t>
      </w:r>
      <w:r>
        <w:rPr>
          <w:rFonts w:ascii="仿宋_GB2312" w:eastAsia="仿宋_GB2312"/>
          <w:szCs w:val="32"/>
        </w:rPr>
        <w:t>V TH</w:t>
      </w:r>
      <w:r>
        <w:rPr>
          <w:rFonts w:ascii="仿宋_GB2312" w:eastAsia="仿宋_GB2312"/>
          <w:szCs w:val="32"/>
        </w:rPr>
        <w:t>Ü</w:t>
      </w:r>
      <w:r>
        <w:rPr>
          <w:rFonts w:ascii="仿宋_GB2312" w:eastAsia="仿宋_GB2312"/>
          <w:szCs w:val="32"/>
        </w:rPr>
        <w:t>RINGEN集团共同举办江苏省注册功能安全工程师（FSCE）培训(第一期)。</w:t>
      </w:r>
    </w:p>
    <w:p w:rsidR="00875EAE" w:rsidRDefault="00875EAE" w:rsidP="00875EAE">
      <w:pPr>
        <w:spacing w:line="540" w:lineRule="exact"/>
        <w:ind w:firstLineChars="200" w:firstLine="640"/>
        <w:rPr>
          <w:rFonts w:ascii="仿宋_GB2312" w:eastAsia="仿宋_GB2312"/>
          <w:szCs w:val="32"/>
        </w:rPr>
      </w:pPr>
      <w:r>
        <w:rPr>
          <w:rFonts w:ascii="仿宋_GB2312" w:eastAsia="仿宋_GB2312"/>
          <w:szCs w:val="32"/>
        </w:rPr>
        <w:t>培训将详细讲解IEC61511标准体系中相关要求的应用条件和范围，也包括在IEC61511中应用到的IEC61508的知识和方法，以及各阶段要求完成的工作和文件和如何完成要求的工作，提升相关技术人员应用IEC61511标准能力和水平，协助企业了解如何建立符合标准要求的功能安全管理体系(FSM)，并在总体安全管理和设计中充分体现功能安全概念。针对学员在实际应用中，出现的相关问题提供详细的解答。</w:t>
      </w:r>
    </w:p>
    <w:p w:rsidR="00875EAE" w:rsidRDefault="00875EAE" w:rsidP="00875EAE">
      <w:pPr>
        <w:spacing w:line="360" w:lineRule="auto"/>
        <w:ind w:firstLineChars="200" w:firstLine="640"/>
        <w:rPr>
          <w:rFonts w:ascii="仿宋_GB2312" w:eastAsia="仿宋_GB2312" w:hint="eastAsia"/>
          <w:szCs w:val="32"/>
        </w:rPr>
      </w:pPr>
    </w:p>
    <w:p w:rsidR="00875EAE" w:rsidRDefault="00875EAE" w:rsidP="00875EAE">
      <w:pPr>
        <w:spacing w:line="360" w:lineRule="auto"/>
        <w:ind w:firstLineChars="200" w:firstLine="640"/>
        <w:rPr>
          <w:rFonts w:ascii="仿宋_GB2312" w:eastAsia="仿宋_GB2312" w:hint="eastAsia"/>
          <w:szCs w:val="32"/>
        </w:rPr>
      </w:pPr>
      <w:r>
        <w:rPr>
          <w:rFonts w:ascii="仿宋_GB2312" w:eastAsia="仿宋_GB2312" w:hint="eastAsia"/>
          <w:noProof/>
          <w:szCs w:val="32"/>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295275</wp:posOffset>
            </wp:positionV>
            <wp:extent cx="5657850" cy="1485900"/>
            <wp:effectExtent l="19050" t="0" r="0" b="0"/>
            <wp:wrapNone/>
            <wp:docPr id="2" name="图片 3" descr="TUEV_Thuerringen_marken_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TUEV_Thuerringen_marken_siegel"/>
                    <pic:cNvPicPr>
                      <a:picLocks noChangeAspect="1" noChangeArrowheads="1"/>
                    </pic:cNvPicPr>
                  </pic:nvPicPr>
                  <pic:blipFill>
                    <a:blip r:embed="rId5" cstate="print"/>
                    <a:srcRect/>
                    <a:stretch>
                      <a:fillRect/>
                    </a:stretch>
                  </pic:blipFill>
                  <pic:spPr bwMode="auto">
                    <a:xfrm>
                      <a:off x="0" y="0"/>
                      <a:ext cx="5657850" cy="1485900"/>
                    </a:xfrm>
                    <a:prstGeom prst="rect">
                      <a:avLst/>
                    </a:prstGeom>
                    <a:noFill/>
                    <a:ln w="9525">
                      <a:noFill/>
                      <a:miter lim="800000"/>
                      <a:headEnd/>
                      <a:tailEnd/>
                    </a:ln>
                    <a:effectLst/>
                  </pic:spPr>
                </pic:pic>
              </a:graphicData>
            </a:graphic>
          </wp:anchor>
        </w:drawing>
      </w:r>
    </w:p>
    <w:p w:rsidR="00875EAE" w:rsidRDefault="00875EAE" w:rsidP="00875EAE">
      <w:pPr>
        <w:spacing w:line="360" w:lineRule="auto"/>
        <w:ind w:firstLineChars="200" w:firstLine="640"/>
        <w:rPr>
          <w:rFonts w:ascii="仿宋_GB2312" w:eastAsia="仿宋_GB2312"/>
          <w:szCs w:val="32"/>
        </w:rPr>
      </w:pPr>
    </w:p>
    <w:p w:rsidR="00875EAE" w:rsidRDefault="00875EAE" w:rsidP="00875EAE">
      <w:pPr>
        <w:spacing w:line="360" w:lineRule="auto"/>
        <w:ind w:firstLineChars="200" w:firstLine="640"/>
        <w:rPr>
          <w:rFonts w:ascii="仿宋_GB2312" w:eastAsia="仿宋_GB2312"/>
          <w:szCs w:val="32"/>
        </w:rPr>
      </w:pPr>
    </w:p>
    <w:p w:rsidR="00875EAE" w:rsidRDefault="00875EAE" w:rsidP="00875EAE">
      <w:pPr>
        <w:spacing w:line="360" w:lineRule="auto"/>
        <w:ind w:firstLineChars="200" w:firstLine="640"/>
        <w:rPr>
          <w:rFonts w:ascii="仿宋_GB2312" w:eastAsia="仿宋_GB2312" w:hint="eastAsia"/>
          <w:szCs w:val="32"/>
        </w:rPr>
      </w:pPr>
    </w:p>
    <w:p w:rsidR="00875EAE" w:rsidRDefault="00875EAE" w:rsidP="00875EAE">
      <w:pPr>
        <w:spacing w:line="360" w:lineRule="auto"/>
        <w:rPr>
          <w:rFonts w:ascii="仿宋_GB2312" w:eastAsia="仿宋_GB2312" w:hint="eastAsia"/>
          <w:b/>
          <w:bCs/>
          <w:szCs w:val="32"/>
        </w:rPr>
      </w:pPr>
    </w:p>
    <w:p w:rsidR="00875EAE" w:rsidRDefault="00875EAE" w:rsidP="00875EAE">
      <w:pPr>
        <w:spacing w:line="360" w:lineRule="auto"/>
        <w:rPr>
          <w:rFonts w:ascii="仿宋_GB2312" w:eastAsia="仿宋_GB2312" w:hint="eastAsia"/>
          <w:b/>
          <w:bCs/>
          <w:szCs w:val="32"/>
        </w:rPr>
      </w:pPr>
      <w:r>
        <w:rPr>
          <w:rFonts w:ascii="仿宋_GB2312" w:eastAsia="仿宋_GB2312" w:hint="eastAsia"/>
          <w:b/>
          <w:bCs/>
          <w:szCs w:val="32"/>
        </w:rPr>
        <w:t>关于T</w:t>
      </w:r>
      <w:r>
        <w:rPr>
          <w:rFonts w:ascii="仿宋_GB2312" w:eastAsia="仿宋_GB2312" w:hint="eastAsia"/>
          <w:b/>
          <w:bCs/>
          <w:szCs w:val="32"/>
        </w:rPr>
        <w:t>Ü</w:t>
      </w:r>
      <w:r>
        <w:rPr>
          <w:rFonts w:ascii="仿宋_GB2312" w:eastAsia="仿宋_GB2312" w:hint="eastAsia"/>
          <w:b/>
          <w:bCs/>
          <w:szCs w:val="32"/>
        </w:rPr>
        <w:t>V注册功能安全工程师（FSCE）证书</w:t>
      </w:r>
    </w:p>
    <w:p w:rsidR="00875EAE" w:rsidRDefault="00875EAE" w:rsidP="00875EAE">
      <w:pPr>
        <w:spacing w:line="480" w:lineRule="exact"/>
        <w:ind w:firstLineChars="200" w:firstLine="640"/>
        <w:rPr>
          <w:rFonts w:ascii="仿宋_GB2312" w:eastAsia="仿宋_GB2312" w:hint="eastAsia"/>
          <w:szCs w:val="32"/>
        </w:rPr>
      </w:pPr>
      <w:r>
        <w:rPr>
          <w:rFonts w:ascii="仿宋_GB2312" w:eastAsia="仿宋_GB2312" w:hint="eastAsia"/>
          <w:szCs w:val="32"/>
        </w:rPr>
        <w:t>T</w:t>
      </w:r>
      <w:r>
        <w:rPr>
          <w:rFonts w:ascii="仿宋_GB2312" w:eastAsia="仿宋_GB2312" w:hint="eastAsia"/>
          <w:szCs w:val="32"/>
        </w:rPr>
        <w:t>Ü</w:t>
      </w:r>
      <w:r>
        <w:rPr>
          <w:rFonts w:ascii="仿宋_GB2312" w:eastAsia="仿宋_GB2312" w:hint="eastAsia"/>
          <w:szCs w:val="32"/>
        </w:rPr>
        <w:t>V注册功能安全工程师（FSCE）是目前在全球范围内，对在相关领域从事功能安全工作人员的一种资质能力认可，已经得到各类业主企业的广泛认可。通过该培训也可以帮助功能安全专业人员加深对功能安全知识的系统性理解以及经验积累。</w:t>
      </w:r>
    </w:p>
    <w:p w:rsidR="00875EAE" w:rsidRDefault="00875EAE" w:rsidP="00875EAE">
      <w:pPr>
        <w:spacing w:line="480" w:lineRule="auto"/>
        <w:ind w:firstLineChars="200" w:firstLine="600"/>
        <w:rPr>
          <w:rFonts w:ascii="仿宋" w:hAnsi="仿宋" w:cs="仿宋" w:hint="eastAsia"/>
          <w:sz w:val="30"/>
          <w:szCs w:val="30"/>
          <w:shd w:val="clear" w:color="auto" w:fill="FFFFFF"/>
        </w:rPr>
      </w:pPr>
      <w:r>
        <w:rPr>
          <w:rFonts w:ascii="仿宋" w:hAnsi="仿宋" w:cs="仿宋" w:hint="eastAsia"/>
          <w:noProof/>
          <w:sz w:val="30"/>
          <w:szCs w:val="30"/>
        </w:rPr>
        <w:drawing>
          <wp:anchor distT="0" distB="0" distL="114300" distR="114300" simplePos="0" relativeHeight="251662336" behindDoc="0" locked="0" layoutInCell="1" allowOverlap="1">
            <wp:simplePos x="0" y="0"/>
            <wp:positionH relativeFrom="column">
              <wp:posOffset>2658110</wp:posOffset>
            </wp:positionH>
            <wp:positionV relativeFrom="paragraph">
              <wp:posOffset>62230</wp:posOffset>
            </wp:positionV>
            <wp:extent cx="3046730" cy="3606165"/>
            <wp:effectExtent l="19050" t="0" r="1270" b="0"/>
            <wp:wrapNone/>
            <wp:docPr id="4" name="图片 21" descr="66146ab0f826b37b2e798ef942377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66146ab0f826b37b2e798ef9423773ba"/>
                    <pic:cNvPicPr>
                      <a:picLocks noChangeAspect="1" noChangeArrowheads="1"/>
                    </pic:cNvPicPr>
                  </pic:nvPicPr>
                  <pic:blipFill>
                    <a:blip r:embed="rId6" cstate="print"/>
                    <a:srcRect/>
                    <a:stretch>
                      <a:fillRect/>
                    </a:stretch>
                  </pic:blipFill>
                  <pic:spPr bwMode="auto">
                    <a:xfrm>
                      <a:off x="0" y="0"/>
                      <a:ext cx="3046730" cy="3606165"/>
                    </a:xfrm>
                    <a:prstGeom prst="rect">
                      <a:avLst/>
                    </a:prstGeom>
                    <a:noFill/>
                    <a:ln w="9525">
                      <a:noFill/>
                      <a:miter lim="800000"/>
                      <a:headEnd/>
                      <a:tailEnd/>
                    </a:ln>
                  </pic:spPr>
                </pic:pic>
              </a:graphicData>
            </a:graphic>
          </wp:anchor>
        </w:drawing>
      </w:r>
      <w:r>
        <w:rPr>
          <w:rFonts w:ascii="仿宋" w:hAnsi="仿宋" w:cs="仿宋" w:hint="eastAsia"/>
          <w:noProof/>
          <w:sz w:val="30"/>
          <w:szCs w:val="30"/>
        </w:rPr>
        <w:drawing>
          <wp:anchor distT="0" distB="0" distL="114300" distR="114300" simplePos="0" relativeHeight="251661312" behindDoc="0" locked="0" layoutInCell="1" allowOverlap="1">
            <wp:simplePos x="0" y="0"/>
            <wp:positionH relativeFrom="column">
              <wp:posOffset>-220980</wp:posOffset>
            </wp:positionH>
            <wp:positionV relativeFrom="paragraph">
              <wp:posOffset>-65405</wp:posOffset>
            </wp:positionV>
            <wp:extent cx="2710180" cy="3833495"/>
            <wp:effectExtent l="19050" t="0" r="0" b="0"/>
            <wp:wrapNone/>
            <wp:docPr id="3" name="图片 20" descr="9fcfd66042ae5eaf0d7d07af55010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9fcfd66042ae5eaf0d7d07af55010fe8"/>
                    <pic:cNvPicPr>
                      <a:picLocks noChangeAspect="1" noChangeArrowheads="1"/>
                    </pic:cNvPicPr>
                  </pic:nvPicPr>
                  <pic:blipFill>
                    <a:blip r:embed="rId7" cstate="print"/>
                    <a:srcRect/>
                    <a:stretch>
                      <a:fillRect/>
                    </a:stretch>
                  </pic:blipFill>
                  <pic:spPr bwMode="auto">
                    <a:xfrm>
                      <a:off x="0" y="0"/>
                      <a:ext cx="2710180" cy="3833495"/>
                    </a:xfrm>
                    <a:prstGeom prst="rect">
                      <a:avLst/>
                    </a:prstGeom>
                    <a:noFill/>
                    <a:ln w="9525">
                      <a:noFill/>
                      <a:miter lim="800000"/>
                      <a:headEnd/>
                      <a:tailEnd/>
                    </a:ln>
                  </pic:spPr>
                </pic:pic>
              </a:graphicData>
            </a:graphic>
          </wp:anchor>
        </w:drawing>
      </w:r>
    </w:p>
    <w:p w:rsidR="00875EAE" w:rsidRDefault="00875EAE" w:rsidP="00875EAE">
      <w:pPr>
        <w:spacing w:line="480" w:lineRule="auto"/>
        <w:ind w:firstLineChars="200" w:firstLine="600"/>
        <w:rPr>
          <w:rFonts w:ascii="仿宋" w:hAnsi="仿宋" w:cs="仿宋" w:hint="eastAsia"/>
          <w:sz w:val="30"/>
          <w:szCs w:val="30"/>
          <w:shd w:val="clear" w:color="auto" w:fill="FFFFFF"/>
        </w:rPr>
      </w:pPr>
    </w:p>
    <w:p w:rsidR="00875EAE" w:rsidRDefault="00875EAE" w:rsidP="00875EAE">
      <w:pPr>
        <w:spacing w:line="480" w:lineRule="auto"/>
        <w:ind w:firstLineChars="200" w:firstLine="600"/>
        <w:rPr>
          <w:rFonts w:ascii="仿宋" w:hAnsi="仿宋" w:cs="仿宋" w:hint="eastAsia"/>
          <w:sz w:val="30"/>
          <w:szCs w:val="30"/>
          <w:shd w:val="clear" w:color="auto" w:fill="FFFFFF"/>
        </w:rPr>
      </w:pPr>
    </w:p>
    <w:p w:rsidR="00875EAE" w:rsidRDefault="00875EAE" w:rsidP="00875EAE">
      <w:pPr>
        <w:spacing w:line="480" w:lineRule="auto"/>
        <w:ind w:firstLineChars="200" w:firstLine="600"/>
        <w:jc w:val="center"/>
        <w:rPr>
          <w:rFonts w:ascii="仿宋" w:hAnsi="仿宋" w:cs="仿宋" w:hint="eastAsia"/>
          <w:sz w:val="30"/>
          <w:szCs w:val="30"/>
          <w:shd w:val="clear" w:color="auto" w:fill="FFFFFF"/>
        </w:rPr>
      </w:pPr>
    </w:p>
    <w:p w:rsidR="00875EAE" w:rsidRDefault="00875EAE" w:rsidP="00875EAE">
      <w:pPr>
        <w:spacing w:line="480" w:lineRule="auto"/>
        <w:ind w:firstLineChars="200" w:firstLine="600"/>
        <w:jc w:val="center"/>
        <w:rPr>
          <w:rFonts w:ascii="仿宋" w:hAnsi="仿宋" w:cs="仿宋" w:hint="eastAsia"/>
          <w:sz w:val="30"/>
          <w:szCs w:val="30"/>
          <w:shd w:val="clear" w:color="auto" w:fill="FFFFFF"/>
        </w:rPr>
      </w:pPr>
    </w:p>
    <w:p w:rsidR="00875EAE" w:rsidRDefault="00875EAE" w:rsidP="00875EAE">
      <w:pPr>
        <w:spacing w:line="540" w:lineRule="exact"/>
        <w:rPr>
          <w:rFonts w:ascii="仿宋_GB2312" w:eastAsia="仿宋_GB2312" w:hint="eastAsia"/>
          <w:b/>
          <w:bCs/>
          <w:szCs w:val="32"/>
        </w:rPr>
      </w:pPr>
      <w:r>
        <w:rPr>
          <w:rFonts w:ascii="仿宋_GB2312" w:eastAsia="仿宋_GB2312" w:hint="eastAsia"/>
          <w:b/>
          <w:bCs/>
          <w:szCs w:val="32"/>
        </w:rPr>
        <w:t>获得FSCE资质证书人员的基本资格要求</w:t>
      </w:r>
    </w:p>
    <w:p w:rsidR="00875EAE" w:rsidRDefault="00875EAE" w:rsidP="00875EAE">
      <w:pPr>
        <w:numPr>
          <w:ilvl w:val="0"/>
          <w:numId w:val="1"/>
        </w:numPr>
        <w:spacing w:line="540" w:lineRule="exact"/>
        <w:rPr>
          <w:rFonts w:ascii="仿宋_GB2312" w:eastAsia="仿宋_GB2312" w:hint="eastAsia"/>
          <w:szCs w:val="32"/>
        </w:rPr>
      </w:pPr>
      <w:r>
        <w:rPr>
          <w:rFonts w:ascii="仿宋_GB2312" w:eastAsia="仿宋_GB2312" w:hint="eastAsia"/>
          <w:szCs w:val="32"/>
        </w:rPr>
        <w:t>具有至少3年从事功能安全及相关工作经验，了解IEC 61511或化工行业相关功能安全标准；</w:t>
      </w:r>
    </w:p>
    <w:p w:rsidR="00875EAE" w:rsidRDefault="00875EAE" w:rsidP="00875EAE">
      <w:pPr>
        <w:numPr>
          <w:ilvl w:val="0"/>
          <w:numId w:val="1"/>
        </w:numPr>
        <w:spacing w:line="540" w:lineRule="exact"/>
        <w:rPr>
          <w:rFonts w:ascii="仿宋_GB2312" w:eastAsia="仿宋_GB2312" w:hint="eastAsia"/>
          <w:szCs w:val="32"/>
        </w:rPr>
      </w:pPr>
      <w:r>
        <w:rPr>
          <w:rFonts w:ascii="仿宋_GB2312" w:eastAsia="仿宋_GB2312" w:hint="eastAsia"/>
          <w:szCs w:val="32"/>
        </w:rPr>
        <w:t>相关高校专业毕业3年或硕士以上的学历；</w:t>
      </w:r>
    </w:p>
    <w:p w:rsidR="00875EAE" w:rsidRDefault="00875EAE" w:rsidP="00875EAE">
      <w:pPr>
        <w:numPr>
          <w:ilvl w:val="0"/>
          <w:numId w:val="1"/>
        </w:numPr>
        <w:spacing w:line="540" w:lineRule="exact"/>
        <w:rPr>
          <w:rFonts w:ascii="仿宋_GB2312" w:eastAsia="仿宋_GB2312" w:hint="eastAsia"/>
          <w:szCs w:val="32"/>
        </w:rPr>
      </w:pPr>
      <w:r>
        <w:rPr>
          <w:rFonts w:ascii="仿宋_GB2312" w:eastAsia="仿宋_GB2312" w:hint="eastAsia"/>
          <w:szCs w:val="32"/>
        </w:rPr>
        <w:t>FSCE培训考试合格</w:t>
      </w:r>
    </w:p>
    <w:p w:rsidR="00875EAE" w:rsidRDefault="00875EAE" w:rsidP="00875EAE">
      <w:pPr>
        <w:spacing w:line="540" w:lineRule="exact"/>
        <w:rPr>
          <w:rFonts w:ascii="仿宋_GB2312" w:eastAsia="仿宋_GB2312" w:hint="eastAsia"/>
          <w:b/>
          <w:bCs/>
          <w:szCs w:val="32"/>
        </w:rPr>
      </w:pPr>
      <w:r>
        <w:rPr>
          <w:rFonts w:ascii="仿宋_GB2312" w:eastAsia="仿宋_GB2312" w:hint="eastAsia"/>
          <w:b/>
          <w:bCs/>
          <w:szCs w:val="32"/>
        </w:rPr>
        <w:t>培训对象</w:t>
      </w:r>
    </w:p>
    <w:p w:rsidR="00875EAE" w:rsidRDefault="00875EAE" w:rsidP="00875EAE">
      <w:pPr>
        <w:numPr>
          <w:ilvl w:val="0"/>
          <w:numId w:val="2"/>
        </w:numPr>
        <w:spacing w:line="540" w:lineRule="exact"/>
        <w:rPr>
          <w:rFonts w:ascii="仿宋_GB2312" w:eastAsia="仿宋_GB2312" w:hint="eastAsia"/>
          <w:szCs w:val="32"/>
        </w:rPr>
      </w:pPr>
      <w:r>
        <w:rPr>
          <w:rFonts w:ascii="仿宋_GB2312" w:eastAsia="仿宋_GB2312" w:hint="eastAsia"/>
          <w:szCs w:val="32"/>
        </w:rPr>
        <w:t>企业HSE</w:t>
      </w:r>
      <w:r>
        <w:rPr>
          <w:rFonts w:ascii="仿宋_GB2312" w:eastAsia="仿宋_GB2312" w:hint="eastAsia"/>
          <w:szCs w:val="32"/>
        </w:rPr>
        <w:t> </w:t>
      </w:r>
      <w:r>
        <w:rPr>
          <w:rFonts w:ascii="仿宋_GB2312" w:eastAsia="仿宋_GB2312" w:hint="eastAsia"/>
          <w:szCs w:val="32"/>
        </w:rPr>
        <w:t>管理者</w:t>
      </w:r>
    </w:p>
    <w:p w:rsidR="00875EAE" w:rsidRDefault="00875EAE" w:rsidP="00875EAE">
      <w:pPr>
        <w:numPr>
          <w:ilvl w:val="0"/>
          <w:numId w:val="2"/>
        </w:numPr>
        <w:spacing w:line="480" w:lineRule="exact"/>
        <w:rPr>
          <w:rFonts w:ascii="仿宋_GB2312" w:eastAsia="仿宋_GB2312" w:hint="eastAsia"/>
          <w:szCs w:val="32"/>
        </w:rPr>
      </w:pPr>
      <w:r>
        <w:rPr>
          <w:rFonts w:ascii="仿宋_GB2312" w:eastAsia="仿宋_GB2312" w:hint="eastAsia"/>
          <w:szCs w:val="32"/>
        </w:rPr>
        <w:t>设计院工程设计工程师</w:t>
      </w:r>
    </w:p>
    <w:p w:rsidR="00875EAE" w:rsidRDefault="00875EAE" w:rsidP="00875EAE">
      <w:pPr>
        <w:numPr>
          <w:ilvl w:val="0"/>
          <w:numId w:val="2"/>
        </w:numPr>
        <w:spacing w:line="480" w:lineRule="exact"/>
        <w:rPr>
          <w:rFonts w:ascii="仿宋_GB2312" w:eastAsia="仿宋_GB2312" w:hint="eastAsia"/>
          <w:szCs w:val="32"/>
        </w:rPr>
      </w:pPr>
      <w:r>
        <w:rPr>
          <w:rFonts w:ascii="仿宋_GB2312" w:eastAsia="仿宋_GB2312" w:hint="eastAsia"/>
          <w:szCs w:val="32"/>
        </w:rPr>
        <w:lastRenderedPageBreak/>
        <w:t>SIS集成工程师、自控工程技术人员</w:t>
      </w:r>
    </w:p>
    <w:p w:rsidR="00875EAE" w:rsidRDefault="00875EAE" w:rsidP="00875EAE">
      <w:pPr>
        <w:numPr>
          <w:ilvl w:val="0"/>
          <w:numId w:val="2"/>
        </w:numPr>
        <w:spacing w:line="480" w:lineRule="exact"/>
        <w:rPr>
          <w:rFonts w:ascii="仿宋_GB2312" w:eastAsia="仿宋_GB2312" w:hint="eastAsia"/>
          <w:szCs w:val="32"/>
        </w:rPr>
      </w:pPr>
      <w:r>
        <w:rPr>
          <w:rFonts w:ascii="仿宋_GB2312" w:eastAsia="仿宋_GB2312" w:hint="eastAsia"/>
          <w:szCs w:val="32"/>
        </w:rPr>
        <w:t>HAZOP</w:t>
      </w:r>
      <w:r>
        <w:rPr>
          <w:rFonts w:ascii="仿宋_GB2312" w:eastAsia="仿宋_GB2312" w:hint="eastAsia"/>
          <w:szCs w:val="32"/>
        </w:rPr>
        <w:t> </w:t>
      </w:r>
      <w:r>
        <w:rPr>
          <w:rFonts w:ascii="仿宋_GB2312" w:eastAsia="仿宋_GB2312" w:hint="eastAsia"/>
          <w:szCs w:val="32"/>
        </w:rPr>
        <w:t>的主持组织者</w:t>
      </w:r>
    </w:p>
    <w:p w:rsidR="00875EAE" w:rsidRDefault="00875EAE" w:rsidP="00875EAE">
      <w:pPr>
        <w:numPr>
          <w:ilvl w:val="0"/>
          <w:numId w:val="2"/>
        </w:numPr>
        <w:spacing w:line="480" w:lineRule="exact"/>
        <w:rPr>
          <w:rFonts w:ascii="仿宋_GB2312" w:eastAsia="仿宋_GB2312" w:hint="eastAsia"/>
          <w:szCs w:val="32"/>
        </w:rPr>
      </w:pPr>
      <w:r>
        <w:rPr>
          <w:rFonts w:ascii="仿宋_GB2312" w:eastAsia="仿宋_GB2312" w:hint="eastAsia"/>
          <w:szCs w:val="32"/>
        </w:rPr>
        <w:t>仪表工程师、安全仪表系统的维护工程师</w:t>
      </w:r>
    </w:p>
    <w:p w:rsidR="00875EAE" w:rsidRDefault="00875EAE" w:rsidP="00875EAE">
      <w:pPr>
        <w:numPr>
          <w:ilvl w:val="0"/>
          <w:numId w:val="2"/>
        </w:numPr>
        <w:spacing w:line="480" w:lineRule="exact"/>
        <w:rPr>
          <w:rFonts w:ascii="仿宋_GB2312" w:eastAsia="仿宋_GB2312" w:hint="eastAsia"/>
          <w:szCs w:val="32"/>
        </w:rPr>
      </w:pPr>
      <w:r>
        <w:rPr>
          <w:rFonts w:ascii="仿宋_GB2312" w:eastAsia="仿宋_GB2312" w:hint="eastAsia"/>
          <w:szCs w:val="32"/>
        </w:rPr>
        <w:t>功能安全相关的管理人员</w:t>
      </w:r>
    </w:p>
    <w:p w:rsidR="00875EAE" w:rsidRDefault="00875EAE" w:rsidP="00875EAE">
      <w:pPr>
        <w:spacing w:line="360" w:lineRule="auto"/>
        <w:rPr>
          <w:rFonts w:ascii="仿宋_GB2312" w:eastAsia="仿宋_GB2312" w:hint="eastAsia"/>
          <w:b/>
          <w:bCs/>
          <w:szCs w:val="32"/>
        </w:rPr>
      </w:pPr>
      <w:r>
        <w:rPr>
          <w:rFonts w:ascii="仿宋_GB2312" w:eastAsia="仿宋_GB2312" w:hint="eastAsia"/>
          <w:b/>
          <w:bCs/>
          <w:szCs w:val="32"/>
        </w:rPr>
        <w:t>内容安排：</w:t>
      </w:r>
    </w:p>
    <w:tbl>
      <w:tblPr>
        <w:tblW w:w="8070" w:type="dxa"/>
        <w:tblLayout w:type="fixed"/>
        <w:tblCellMar>
          <w:left w:w="0" w:type="dxa"/>
          <w:right w:w="0" w:type="dxa"/>
        </w:tblCellMar>
        <w:tblLook w:val="0000"/>
      </w:tblPr>
      <w:tblGrid>
        <w:gridCol w:w="8070"/>
      </w:tblGrid>
      <w:tr w:rsidR="00875EAE" w:rsidTr="00585FB2">
        <w:tc>
          <w:tcPr>
            <w:tcW w:w="8070" w:type="dxa"/>
            <w:tcBorders>
              <w:top w:val="single" w:sz="8" w:space="0" w:color="000000"/>
              <w:left w:val="single" w:sz="8" w:space="0" w:color="000000"/>
              <w:bottom w:val="single" w:sz="8" w:space="0" w:color="000000"/>
              <w:right w:val="single" w:sz="8" w:space="0" w:color="000000"/>
            </w:tcBorders>
            <w:shd w:val="clear" w:color="auto" w:fill="FCFCFC"/>
            <w:tcMar>
              <w:left w:w="105" w:type="dxa"/>
              <w:right w:w="105" w:type="dxa"/>
            </w:tcMar>
          </w:tcPr>
          <w:p w:rsidR="00875EAE" w:rsidRDefault="00875EAE" w:rsidP="00585FB2">
            <w:pPr>
              <w:spacing w:line="288" w:lineRule="auto"/>
              <w:rPr>
                <w:rFonts w:ascii="仿宋_GB2312" w:eastAsia="仿宋_GB2312" w:hint="eastAsia"/>
                <w:szCs w:val="32"/>
              </w:rPr>
            </w:pPr>
            <w:r>
              <w:rPr>
                <w:rFonts w:ascii="仿宋_GB2312" w:eastAsia="仿宋_GB2312" w:hint="eastAsia"/>
                <w:szCs w:val="32"/>
              </w:rPr>
              <w:t>1.</w:t>
            </w:r>
            <w:r>
              <w:rPr>
                <w:rFonts w:ascii="仿宋_GB2312" w:eastAsia="仿宋_GB2312" w:hint="eastAsia"/>
                <w:szCs w:val="32"/>
              </w:rPr>
              <w:t> </w:t>
            </w:r>
            <w:r>
              <w:rPr>
                <w:rFonts w:ascii="仿宋_GB2312" w:eastAsia="仿宋_GB2312" w:hint="eastAsia"/>
                <w:szCs w:val="32"/>
              </w:rPr>
              <w:t>功能安全与安全仪表系统</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1.1 功能安全标准体系</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1.2 IEC61508</w:t>
            </w:r>
            <w:r>
              <w:rPr>
                <w:rFonts w:ascii="仿宋_GB2312" w:eastAsia="仿宋_GB2312" w:hint="eastAsia"/>
                <w:szCs w:val="32"/>
              </w:rPr>
              <w:t> </w:t>
            </w:r>
            <w:r>
              <w:rPr>
                <w:rFonts w:ascii="仿宋_GB2312" w:eastAsia="仿宋_GB2312" w:hint="eastAsia"/>
                <w:szCs w:val="32"/>
              </w:rPr>
              <w:t>&amp; IEC61511</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1.3 功能安全的目的</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1.4 与安全仪表系统相关的术语和定义</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1.5 安全仪表系统的安全生命周期</w:t>
            </w:r>
            <w:r>
              <w:rPr>
                <w:rFonts w:ascii="仿宋_GB2312" w:eastAsia="仿宋_GB2312" w:hint="eastAsia"/>
                <w:szCs w:val="32"/>
              </w:rPr>
              <w:t> </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2.危险分析与SIL定级</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2.1 工艺危险和风险分析</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2.2 给保护层分配安全功能</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2.3 矩阵法、风险图法和LOPA法的SIL定级</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3</w:t>
            </w:r>
            <w:r>
              <w:rPr>
                <w:rFonts w:ascii="仿宋_GB2312" w:eastAsia="仿宋_GB2312" w:hint="eastAsia"/>
                <w:szCs w:val="32"/>
              </w:rPr>
              <w:t> </w:t>
            </w:r>
            <w:r>
              <w:rPr>
                <w:rFonts w:ascii="仿宋_GB2312" w:eastAsia="仿宋_GB2312" w:hint="eastAsia"/>
                <w:szCs w:val="32"/>
              </w:rPr>
              <w:t>安全仪表系统的设计与实现</w:t>
            </w:r>
            <w:r>
              <w:rPr>
                <w:rFonts w:ascii="仿宋_GB2312" w:eastAsia="仿宋_GB2312" w:hint="eastAsia"/>
                <w:szCs w:val="32"/>
              </w:rPr>
              <w:t> </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3.1 安全仪表系统的安全要求规范</w:t>
            </w:r>
          </w:p>
          <w:p w:rsidR="00875EAE" w:rsidRDefault="00875EAE" w:rsidP="00585FB2">
            <w:pPr>
              <w:spacing w:line="288" w:lineRule="auto"/>
              <w:ind w:firstLineChars="200" w:firstLine="640"/>
              <w:rPr>
                <w:rFonts w:ascii="仿宋_GB2312" w:eastAsia="仿宋_GB2312" w:hint="eastAsia"/>
                <w:szCs w:val="32"/>
              </w:rPr>
            </w:pPr>
            <w:r>
              <w:rPr>
                <w:rFonts w:ascii="仿宋_GB2312" w:eastAsia="仿宋_GB2312" w:hint="eastAsia"/>
                <w:szCs w:val="32"/>
              </w:rPr>
              <w:t>3.2 安全仪表系统的设计</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4. SIS硬件安全完整性等级（SIL）验证</w:t>
            </w:r>
            <w:r>
              <w:rPr>
                <w:rFonts w:ascii="仿宋_GB2312" w:eastAsia="仿宋_GB2312" w:hint="eastAsia"/>
                <w:szCs w:val="32"/>
              </w:rPr>
              <w:t>  </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5. 现场接受测试</w:t>
            </w:r>
            <w:r>
              <w:rPr>
                <w:rFonts w:ascii="仿宋_GB2312" w:eastAsia="仿宋_GB2312" w:hint="eastAsia"/>
                <w:szCs w:val="32"/>
              </w:rPr>
              <w:t> </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6. SIS的操作和维护</w:t>
            </w:r>
          </w:p>
          <w:p w:rsidR="00875EAE" w:rsidRDefault="00875EAE" w:rsidP="00585FB2">
            <w:pPr>
              <w:spacing w:line="288" w:lineRule="auto"/>
              <w:rPr>
                <w:rFonts w:ascii="仿宋_GB2312" w:eastAsia="仿宋_GB2312" w:hint="eastAsia"/>
                <w:szCs w:val="32"/>
              </w:rPr>
            </w:pPr>
            <w:r>
              <w:rPr>
                <w:rFonts w:ascii="仿宋_GB2312" w:eastAsia="仿宋_GB2312" w:hint="eastAsia"/>
                <w:szCs w:val="32"/>
              </w:rPr>
              <w:t>7. SIS变更的要求</w:t>
            </w:r>
            <w:r>
              <w:rPr>
                <w:rFonts w:ascii="仿宋_GB2312" w:eastAsia="仿宋_GB2312" w:hint="eastAsia"/>
                <w:szCs w:val="32"/>
              </w:rPr>
              <w:t> </w:t>
            </w:r>
          </w:p>
          <w:p w:rsidR="00875EAE" w:rsidRDefault="00875EAE" w:rsidP="00585FB2">
            <w:pPr>
              <w:spacing w:line="288" w:lineRule="auto"/>
              <w:rPr>
                <w:rFonts w:ascii="仿宋" w:hAnsi="仿宋" w:cs="仿宋" w:hint="eastAsia"/>
                <w:sz w:val="30"/>
                <w:szCs w:val="30"/>
              </w:rPr>
            </w:pPr>
            <w:r>
              <w:rPr>
                <w:rFonts w:ascii="仿宋_GB2312" w:eastAsia="仿宋_GB2312" w:hint="eastAsia"/>
                <w:szCs w:val="32"/>
              </w:rPr>
              <w:t>8.</w:t>
            </w:r>
            <w:r>
              <w:rPr>
                <w:rFonts w:ascii="仿宋_GB2312" w:eastAsia="仿宋_GB2312" w:hint="eastAsia"/>
                <w:szCs w:val="32"/>
              </w:rPr>
              <w:t> </w:t>
            </w:r>
            <w:r>
              <w:rPr>
                <w:rFonts w:ascii="仿宋_GB2312" w:eastAsia="仿宋_GB2312" w:hint="eastAsia"/>
                <w:szCs w:val="32"/>
              </w:rPr>
              <w:t>SIS的功能安全管理</w:t>
            </w:r>
            <w:r>
              <w:rPr>
                <w:rFonts w:ascii="仿宋_GB2312" w:eastAsia="仿宋_GB2312" w:hint="eastAsia"/>
                <w:szCs w:val="32"/>
              </w:rPr>
              <w:t> </w:t>
            </w:r>
          </w:p>
        </w:tc>
      </w:tr>
    </w:tbl>
    <w:p w:rsidR="00875EAE" w:rsidRDefault="00875EAE" w:rsidP="00875EAE">
      <w:pPr>
        <w:spacing w:line="312" w:lineRule="auto"/>
        <w:rPr>
          <w:rFonts w:ascii="仿宋_GB2312" w:eastAsia="仿宋_GB2312" w:hint="eastAsia"/>
          <w:b/>
          <w:bCs/>
          <w:szCs w:val="32"/>
        </w:rPr>
      </w:pPr>
      <w:r>
        <w:rPr>
          <w:rFonts w:ascii="仿宋_GB2312" w:eastAsia="仿宋_GB2312" w:hint="eastAsia"/>
          <w:b/>
          <w:bCs/>
          <w:szCs w:val="32"/>
        </w:rPr>
        <w:lastRenderedPageBreak/>
        <w:t>关于T</w:t>
      </w:r>
      <w:r>
        <w:rPr>
          <w:rFonts w:ascii="仿宋_GB2312" w:eastAsia="仿宋_GB2312" w:hint="eastAsia"/>
          <w:b/>
          <w:bCs/>
          <w:szCs w:val="32"/>
        </w:rPr>
        <w:t>Ü</w:t>
      </w:r>
      <w:r>
        <w:rPr>
          <w:rFonts w:ascii="仿宋_GB2312" w:eastAsia="仿宋_GB2312" w:hint="eastAsia"/>
          <w:b/>
          <w:bCs/>
          <w:szCs w:val="32"/>
        </w:rPr>
        <w:t xml:space="preserve">V </w:t>
      </w:r>
      <w:proofErr w:type="spellStart"/>
      <w:r>
        <w:rPr>
          <w:rFonts w:ascii="仿宋_GB2312" w:eastAsia="仿宋_GB2312" w:hint="eastAsia"/>
          <w:b/>
          <w:bCs/>
          <w:szCs w:val="32"/>
        </w:rPr>
        <w:t>Th</w:t>
      </w:r>
      <w:proofErr w:type="spellEnd"/>
      <w:r>
        <w:rPr>
          <w:rFonts w:ascii="仿宋_GB2312" w:eastAsia="仿宋_GB2312" w:hint="eastAsia"/>
          <w:b/>
          <w:bCs/>
          <w:szCs w:val="32"/>
        </w:rPr>
        <w:t>ü</w:t>
      </w:r>
      <w:proofErr w:type="spellStart"/>
      <w:r>
        <w:rPr>
          <w:rFonts w:ascii="仿宋_GB2312" w:eastAsia="仿宋_GB2312" w:hint="eastAsia"/>
          <w:b/>
          <w:bCs/>
          <w:szCs w:val="32"/>
        </w:rPr>
        <w:t>ringen</w:t>
      </w:r>
      <w:proofErr w:type="spellEnd"/>
    </w:p>
    <w:p w:rsidR="00875EAE" w:rsidRDefault="00875EAE" w:rsidP="00875EAE">
      <w:pPr>
        <w:spacing w:line="312" w:lineRule="auto"/>
        <w:ind w:firstLineChars="200" w:firstLine="640"/>
        <w:rPr>
          <w:rFonts w:ascii="仿宋_GB2312" w:eastAsia="仿宋_GB2312" w:hint="eastAsia"/>
          <w:szCs w:val="32"/>
        </w:rPr>
      </w:pPr>
      <w:r>
        <w:rPr>
          <w:rFonts w:ascii="仿宋_GB2312" w:eastAsia="仿宋_GB2312" w:hint="eastAsia"/>
          <w:noProof/>
          <w:szCs w:val="32"/>
        </w:rPr>
        <w:drawing>
          <wp:anchor distT="0" distB="0" distL="114300" distR="114300" simplePos="0" relativeHeight="251664384" behindDoc="0" locked="0" layoutInCell="1" allowOverlap="1">
            <wp:simplePos x="0" y="0"/>
            <wp:positionH relativeFrom="column">
              <wp:posOffset>-104775</wp:posOffset>
            </wp:positionH>
            <wp:positionV relativeFrom="paragraph">
              <wp:posOffset>127635</wp:posOffset>
            </wp:positionV>
            <wp:extent cx="1828800" cy="868680"/>
            <wp:effectExtent l="19050" t="0" r="0" b="0"/>
            <wp:wrapNone/>
            <wp:docPr id="6" name="图片 5" descr="C:\Users\Frank Zhou\Pictures\TTCHINA.pngTT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Frank Zhou\Pictures\TTCHINA.pngTTCHINA"/>
                    <pic:cNvPicPr>
                      <a:picLocks noChangeAspect="1" noChangeArrowheads="1"/>
                    </pic:cNvPicPr>
                  </pic:nvPicPr>
                  <pic:blipFill>
                    <a:blip r:embed="rId8" cstate="print"/>
                    <a:srcRect/>
                    <a:stretch>
                      <a:fillRect/>
                    </a:stretch>
                  </pic:blipFill>
                  <pic:spPr bwMode="auto">
                    <a:xfrm>
                      <a:off x="0" y="0"/>
                      <a:ext cx="1828800" cy="868680"/>
                    </a:xfrm>
                    <a:prstGeom prst="rect">
                      <a:avLst/>
                    </a:prstGeom>
                    <a:noFill/>
                    <a:ln w="9525">
                      <a:noFill/>
                      <a:miter lim="800000"/>
                      <a:headEnd/>
                      <a:tailEnd/>
                    </a:ln>
                  </pic:spPr>
                </pic:pic>
              </a:graphicData>
            </a:graphic>
          </wp:anchor>
        </w:drawing>
      </w:r>
    </w:p>
    <w:p w:rsidR="00875EAE" w:rsidRDefault="00875EAE" w:rsidP="00875EAE">
      <w:pPr>
        <w:spacing w:line="312" w:lineRule="auto"/>
        <w:ind w:firstLineChars="200" w:firstLine="640"/>
        <w:rPr>
          <w:rFonts w:ascii="仿宋_GB2312" w:eastAsia="仿宋_GB2312" w:hint="eastAsia"/>
          <w:szCs w:val="32"/>
        </w:rPr>
      </w:pPr>
    </w:p>
    <w:p w:rsidR="00875EAE" w:rsidRDefault="00875EAE" w:rsidP="00875EAE">
      <w:pPr>
        <w:spacing w:line="312" w:lineRule="auto"/>
        <w:ind w:firstLineChars="200" w:firstLine="640"/>
        <w:rPr>
          <w:rFonts w:ascii="仿宋_GB2312" w:eastAsia="仿宋_GB2312" w:hint="eastAsia"/>
          <w:szCs w:val="32"/>
        </w:rPr>
      </w:pPr>
    </w:p>
    <w:p w:rsidR="00875EAE" w:rsidRDefault="00875EAE" w:rsidP="00875EAE">
      <w:pPr>
        <w:spacing w:line="540" w:lineRule="exact"/>
        <w:rPr>
          <w:rFonts w:ascii="仿宋_GB2312" w:eastAsia="仿宋_GB2312" w:hint="eastAsia"/>
          <w:szCs w:val="32"/>
        </w:rPr>
      </w:pPr>
      <w:r>
        <w:rPr>
          <w:rFonts w:ascii="仿宋_GB2312" w:eastAsia="仿宋_GB2312" w:hint="eastAsia"/>
          <w:szCs w:val="32"/>
        </w:rPr>
        <w:t>T</w:t>
      </w:r>
      <w:r>
        <w:rPr>
          <w:rFonts w:ascii="仿宋_GB2312" w:eastAsia="仿宋_GB2312" w:hint="eastAsia"/>
          <w:szCs w:val="32"/>
        </w:rPr>
        <w:t>Ü</w:t>
      </w:r>
      <w:r>
        <w:rPr>
          <w:rFonts w:ascii="仿宋_GB2312" w:eastAsia="仿宋_GB2312" w:hint="eastAsia"/>
          <w:szCs w:val="32"/>
        </w:rPr>
        <w:t>V是德国技术监督协会的简称，特灵顿（上海）检测认证服务有限公司是T</w:t>
      </w:r>
      <w:r>
        <w:rPr>
          <w:rFonts w:ascii="仿宋_GB2312" w:eastAsia="仿宋_GB2312" w:hint="eastAsia"/>
          <w:szCs w:val="32"/>
        </w:rPr>
        <w:t>Ü</w:t>
      </w:r>
      <w:r>
        <w:rPr>
          <w:rFonts w:ascii="仿宋_GB2312" w:eastAsia="仿宋_GB2312" w:hint="eastAsia"/>
          <w:szCs w:val="32"/>
        </w:rPr>
        <w:t xml:space="preserve">V </w:t>
      </w:r>
      <w:proofErr w:type="spellStart"/>
      <w:r>
        <w:rPr>
          <w:rFonts w:ascii="仿宋_GB2312" w:eastAsia="仿宋_GB2312" w:hint="eastAsia"/>
          <w:szCs w:val="32"/>
        </w:rPr>
        <w:t>Th</w:t>
      </w:r>
      <w:proofErr w:type="spellEnd"/>
      <w:r>
        <w:rPr>
          <w:rFonts w:ascii="仿宋_GB2312" w:eastAsia="仿宋_GB2312" w:hint="eastAsia"/>
          <w:szCs w:val="32"/>
        </w:rPr>
        <w:t>ü</w:t>
      </w:r>
      <w:proofErr w:type="spellStart"/>
      <w:r>
        <w:rPr>
          <w:rFonts w:ascii="仿宋_GB2312" w:eastAsia="仿宋_GB2312" w:hint="eastAsia"/>
          <w:szCs w:val="32"/>
        </w:rPr>
        <w:t>ringen</w:t>
      </w:r>
      <w:proofErr w:type="spellEnd"/>
      <w:r>
        <w:rPr>
          <w:rFonts w:ascii="仿宋_GB2312" w:eastAsia="仿宋_GB2312" w:hint="eastAsia"/>
          <w:szCs w:val="32"/>
        </w:rPr>
        <w:t xml:space="preserve"> </w:t>
      </w:r>
      <w:proofErr w:type="spellStart"/>
      <w:r>
        <w:rPr>
          <w:rFonts w:ascii="仿宋_GB2312" w:eastAsia="仿宋_GB2312" w:hint="eastAsia"/>
          <w:szCs w:val="32"/>
        </w:rPr>
        <w:t>e.V</w:t>
      </w:r>
      <w:proofErr w:type="spellEnd"/>
      <w:r>
        <w:rPr>
          <w:rFonts w:ascii="仿宋_GB2312" w:eastAsia="仿宋_GB2312" w:hint="eastAsia"/>
          <w:szCs w:val="32"/>
        </w:rPr>
        <w:t>.（以下简称为T</w:t>
      </w:r>
      <w:r>
        <w:rPr>
          <w:rFonts w:ascii="仿宋_GB2312" w:eastAsia="仿宋_GB2312" w:hint="eastAsia"/>
          <w:szCs w:val="32"/>
        </w:rPr>
        <w:t>Ü</w:t>
      </w:r>
      <w:r>
        <w:rPr>
          <w:rFonts w:ascii="仿宋_GB2312" w:eastAsia="仿宋_GB2312" w:hint="eastAsia"/>
          <w:szCs w:val="32"/>
        </w:rPr>
        <w:t xml:space="preserve">V </w:t>
      </w:r>
      <w:proofErr w:type="spellStart"/>
      <w:r>
        <w:rPr>
          <w:rFonts w:ascii="仿宋_GB2312" w:eastAsia="仿宋_GB2312" w:hint="eastAsia"/>
          <w:szCs w:val="32"/>
        </w:rPr>
        <w:t>Th</w:t>
      </w:r>
      <w:proofErr w:type="spellEnd"/>
      <w:r>
        <w:rPr>
          <w:rFonts w:ascii="仿宋_GB2312" w:eastAsia="仿宋_GB2312" w:hint="eastAsia"/>
          <w:szCs w:val="32"/>
        </w:rPr>
        <w:t>ü</w:t>
      </w:r>
      <w:proofErr w:type="spellStart"/>
      <w:r>
        <w:rPr>
          <w:rFonts w:ascii="仿宋_GB2312" w:eastAsia="仿宋_GB2312" w:hint="eastAsia"/>
          <w:szCs w:val="32"/>
        </w:rPr>
        <w:t>ringen</w:t>
      </w:r>
      <w:proofErr w:type="spellEnd"/>
      <w:r>
        <w:rPr>
          <w:rFonts w:ascii="仿宋_GB2312" w:eastAsia="仿宋_GB2312" w:hint="eastAsia"/>
          <w:szCs w:val="32"/>
        </w:rPr>
        <w:t>集团）在中国投资设立的子公司，公司于2018年获得国家认证认可监督管理委员会的认证机构批准（CNCA-RF-2018-83）。</w:t>
      </w:r>
    </w:p>
    <w:p w:rsidR="00875EAE" w:rsidRDefault="00875EAE" w:rsidP="00875EAE">
      <w:pPr>
        <w:spacing w:line="540" w:lineRule="exact"/>
        <w:rPr>
          <w:rFonts w:ascii="仿宋_GB2312" w:eastAsia="仿宋_GB2312" w:hint="eastAsia"/>
          <w:szCs w:val="32"/>
        </w:rPr>
      </w:pPr>
    </w:p>
    <w:p w:rsidR="00875EAE" w:rsidRDefault="00875EAE" w:rsidP="00875EAE">
      <w:pPr>
        <w:spacing w:line="312" w:lineRule="auto"/>
        <w:rPr>
          <w:rFonts w:ascii="仿宋_GB2312" w:eastAsia="仿宋_GB2312" w:hint="eastAsia"/>
          <w:b/>
          <w:bCs/>
          <w:szCs w:val="32"/>
        </w:rPr>
      </w:pPr>
      <w:r>
        <w:rPr>
          <w:rFonts w:ascii="仿宋_GB2312" w:eastAsia="仿宋_GB2312" w:hint="eastAsia"/>
          <w:b/>
          <w:bCs/>
          <w:noProof/>
          <w:szCs w:val="32"/>
        </w:rPr>
        <w:drawing>
          <wp:anchor distT="0" distB="0" distL="114300" distR="114300" simplePos="0" relativeHeight="251663360" behindDoc="0" locked="0" layoutInCell="1" allowOverlap="1">
            <wp:simplePos x="0" y="0"/>
            <wp:positionH relativeFrom="column">
              <wp:posOffset>-168275</wp:posOffset>
            </wp:positionH>
            <wp:positionV relativeFrom="paragraph">
              <wp:posOffset>354965</wp:posOffset>
            </wp:positionV>
            <wp:extent cx="4924425" cy="1259205"/>
            <wp:effectExtent l="0" t="0" r="0" b="0"/>
            <wp:wrapNone/>
            <wp:docPr id="5" name="图片 9" descr="学会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会LOGO-01"/>
                    <pic:cNvPicPr>
                      <a:picLocks noChangeAspect="1" noChangeArrowheads="1"/>
                    </pic:cNvPicPr>
                  </pic:nvPicPr>
                  <pic:blipFill>
                    <a:blip r:embed="rId9" cstate="print"/>
                    <a:srcRect/>
                    <a:stretch>
                      <a:fillRect/>
                    </a:stretch>
                  </pic:blipFill>
                  <pic:spPr bwMode="auto">
                    <a:xfrm>
                      <a:off x="0" y="0"/>
                      <a:ext cx="4924425" cy="1259205"/>
                    </a:xfrm>
                    <a:prstGeom prst="rect">
                      <a:avLst/>
                    </a:prstGeom>
                    <a:noFill/>
                    <a:ln w="9525">
                      <a:noFill/>
                      <a:miter lim="800000"/>
                      <a:headEnd/>
                      <a:tailEnd/>
                    </a:ln>
                  </pic:spPr>
                </pic:pic>
              </a:graphicData>
            </a:graphic>
          </wp:anchor>
        </w:drawing>
      </w:r>
      <w:r>
        <w:rPr>
          <w:rFonts w:ascii="仿宋_GB2312" w:eastAsia="仿宋_GB2312" w:hint="eastAsia"/>
          <w:b/>
          <w:bCs/>
          <w:szCs w:val="32"/>
        </w:rPr>
        <w:t>关于JSWSST</w:t>
      </w:r>
    </w:p>
    <w:p w:rsidR="00875EAE" w:rsidRDefault="00875EAE" w:rsidP="00875EAE">
      <w:pPr>
        <w:spacing w:line="312" w:lineRule="auto"/>
        <w:ind w:firstLineChars="200" w:firstLine="640"/>
        <w:rPr>
          <w:rFonts w:ascii="仿宋_GB2312" w:eastAsia="仿宋_GB2312" w:hint="eastAsia"/>
          <w:szCs w:val="32"/>
        </w:rPr>
      </w:pPr>
    </w:p>
    <w:p w:rsidR="00875EAE" w:rsidRDefault="00875EAE" w:rsidP="00875EAE">
      <w:pPr>
        <w:spacing w:line="312" w:lineRule="auto"/>
        <w:ind w:firstLineChars="200" w:firstLine="640"/>
        <w:rPr>
          <w:rFonts w:ascii="仿宋_GB2312" w:eastAsia="仿宋_GB2312" w:hint="eastAsia"/>
          <w:szCs w:val="32"/>
        </w:rPr>
      </w:pPr>
    </w:p>
    <w:p w:rsidR="00875EAE" w:rsidRDefault="00875EAE" w:rsidP="00875EAE">
      <w:pPr>
        <w:spacing w:line="540" w:lineRule="exact"/>
        <w:rPr>
          <w:rFonts w:ascii="仿宋_GB2312" w:eastAsia="仿宋_GB2312" w:hint="eastAsia"/>
          <w:szCs w:val="32"/>
        </w:rPr>
      </w:pPr>
      <w:r>
        <w:rPr>
          <w:rFonts w:ascii="仿宋_GB2312" w:eastAsia="仿宋_GB2312" w:hint="eastAsia"/>
          <w:szCs w:val="32"/>
        </w:rPr>
        <w:t>江苏省安全生产科学技术学会(英文缩写：JSWSST)成立于1989年，是我省安全生产相关领域的科研院所、高等院校、企事业单位组成的较高层次的科学共同体，具有跨部门、跨行业、跨领域的特色，有知识密集、人才荟萃、联系广泛的优势，为促进我省安全生产、职业安全健康事业的发展做了大量卓有成效的工作。学会独立于政府与企业之外，地位超脱，客观公正、有较高的公信力，被江苏省民政厅评估为“5A”</w:t>
      </w:r>
      <w:proofErr w:type="gramStart"/>
      <w:r>
        <w:rPr>
          <w:rFonts w:ascii="仿宋_GB2312" w:eastAsia="仿宋_GB2312" w:hint="eastAsia"/>
          <w:szCs w:val="32"/>
        </w:rPr>
        <w:t>级社会</w:t>
      </w:r>
      <w:proofErr w:type="gramEnd"/>
      <w:r>
        <w:rPr>
          <w:rFonts w:ascii="仿宋_GB2312" w:eastAsia="仿宋_GB2312" w:hint="eastAsia"/>
          <w:szCs w:val="32"/>
        </w:rPr>
        <w:t xml:space="preserve">团体、“江苏省示范性社会组织”，被江苏省科协评为“先进省级学会”、第一批“承接政府转移职能试点学会”、 “科技创新智库建设特色学会”。 </w:t>
      </w:r>
    </w:p>
    <w:p w:rsidR="00C6724F" w:rsidRPr="00875EAE" w:rsidRDefault="00C6724F"/>
    <w:sectPr w:rsidR="00C6724F" w:rsidRPr="00875EAE" w:rsidSect="00C672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2A6D6"/>
    <w:multiLevelType w:val="singleLevel"/>
    <w:tmpl w:val="6B62A6D6"/>
    <w:lvl w:ilvl="0">
      <w:start w:val="1"/>
      <w:numFmt w:val="bullet"/>
      <w:lvlText w:val=""/>
      <w:lvlJc w:val="left"/>
      <w:pPr>
        <w:ind w:left="420" w:hanging="420"/>
      </w:pPr>
      <w:rPr>
        <w:rFonts w:ascii="Wingdings" w:hAnsi="Wingdings" w:hint="default"/>
      </w:rPr>
    </w:lvl>
  </w:abstractNum>
  <w:abstractNum w:abstractNumId="1">
    <w:nsid w:val="776385C7"/>
    <w:multiLevelType w:val="singleLevel"/>
    <w:tmpl w:val="776385C7"/>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5EAE"/>
    <w:rsid w:val="00875EAE"/>
    <w:rsid w:val="00C67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EAE"/>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336</Words>
  <Characters>1919</Characters>
  <Application>Microsoft Office Word</Application>
  <DocSecurity>0</DocSecurity>
  <Lines>15</Lines>
  <Paragraphs>4</Paragraphs>
  <ScaleCrop>false</ScaleCrop>
  <Company>Sky123.Org</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王宁娇</dc:creator>
  <cp:lastModifiedBy>王宁娇</cp:lastModifiedBy>
  <cp:revision>1</cp:revision>
  <dcterms:created xsi:type="dcterms:W3CDTF">2020-07-23T03:18:00Z</dcterms:created>
  <dcterms:modified xsi:type="dcterms:W3CDTF">2020-07-23T03:21:00Z</dcterms:modified>
</cp:coreProperties>
</file>